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Regulation 104-R(1): Anti-Bullying/Harassment Policy - Investigation Procedures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b w:val="1"/>
          <w:rtl w:val="0"/>
        </w:rPr>
        <w:t xml:space="preserve">Filing a Complaint</w:t>
      </w:r>
      <w:r w:rsidDel="00000000" w:rsidR="00000000" w:rsidRPr="00000000">
        <w:rPr>
          <w:rFonts w:ascii="Lato" w:cs="Lato" w:eastAsia="Lato" w:hAnsi="Lato"/>
          <w:rtl w:val="0"/>
        </w:rPr>
        <w:br w:type="textWrapping"/>
        <w:t xml:space="preserve">An individual who believes that the individual has been harassed or bullied may file a complaint with the superintendent or superintendent’s designee.  The complaint form is available in the district office.  </w:t>
      </w:r>
      <w:r w:rsidDel="00000000" w:rsidR="00000000" w:rsidRPr="00000000">
        <w:rPr>
          <w:rFonts w:ascii="Lato" w:cs="Lato" w:eastAsia="Lato" w:hAnsi="Lato"/>
          <w:rtl w:val="0"/>
        </w:rPr>
        <w:t xml:space="preserve"> If the complainant is a school employee, after filing the complaint with the superintendent or superintendent’s designee, the employee may separately notify the parent or guardian of the student alleged to have been harassed or bullied.</w:t>
        <w:br w:type="textWrapping"/>
        <w:br w:type="textWrapping"/>
        <w:t xml:space="preserve">An alternate investigator will be designated in the event it is claimed that the superintendent or superintendent’s designee committed the alleged bullying or harassment or some other conflict of interest exists.  Complaints shall be filed within</w:t>
      </w:r>
      <w:r w:rsidDel="00000000" w:rsidR="00000000" w:rsidRPr="00000000">
        <w:rPr>
          <w:rFonts w:ascii="Lato" w:cs="Lato" w:eastAsia="Lato" w:hAnsi="Lato"/>
          <w:i w:val="1"/>
          <w:rtl w:val="0"/>
        </w:rPr>
        <w:t xml:space="preserve"> [state number of days - 180]</w:t>
      </w:r>
      <w:r w:rsidDel="00000000" w:rsidR="00000000" w:rsidRPr="00000000">
        <w:rPr>
          <w:rFonts w:ascii="Lato" w:cs="Lato" w:eastAsia="Lato" w:hAnsi="Lato"/>
          <w:rtl w:val="0"/>
        </w:rPr>
        <w:t xml:space="preserve"> of the event giving rise to the complaint or from the date the Complainant could reasonably become aware of such occurrence.  The Complainant will state the nature of the complaint and the remedy requested. The Complainant shall receive assistance as needed. </w:t>
        <w:br w:type="textWrapping"/>
        <w:br w:type="textWrapping"/>
      </w:r>
      <w:r w:rsidDel="00000000" w:rsidR="00000000" w:rsidRPr="00000000">
        <w:rPr>
          <w:rFonts w:ascii="Lato" w:cs="Lato" w:eastAsia="Lato" w:hAnsi="Lato"/>
          <w:b w:val="1"/>
          <w:rtl w:val="0"/>
        </w:rPr>
        <w:t xml:space="preserve">Investigation </w:t>
      </w:r>
      <w:r w:rsidDel="00000000" w:rsidR="00000000" w:rsidRPr="00000000">
        <w:rPr>
          <w:rFonts w:ascii="Lato" w:cs="Lato" w:eastAsia="Lato" w:hAnsi="Lato"/>
          <w:rtl w:val="0"/>
        </w:rPr>
        <w:br w:type="textWrapping"/>
        <w:t xml:space="preserve">The school district will promptly and reasonably investigate allegations of bullying or harassment upon receipt of a written complaint. The building principal </w:t>
      </w:r>
      <w:r w:rsidDel="00000000" w:rsidR="00000000" w:rsidRPr="00000000">
        <w:rPr>
          <w:rFonts w:ascii="Lato" w:cs="Lato" w:eastAsia="Lato" w:hAnsi="Lato"/>
          <w:highlight w:val="white"/>
          <w:rtl w:val="0"/>
        </w:rPr>
        <w:t xml:space="preserve">(</w:t>
      </w:r>
      <w:r w:rsidDel="00000000" w:rsidR="00000000" w:rsidRPr="00000000">
        <w:rPr>
          <w:rFonts w:ascii="Lato" w:cs="Lato" w:eastAsia="Lato" w:hAnsi="Lato"/>
          <w:rtl w:val="0"/>
        </w:rPr>
        <w:t xml:space="preserve">hereinafter “Investigator”) will be responsible for handling all complaints alleging bullying or harassment.  </w:t>
        <w:br w:type="textWrapping"/>
        <w:br w:type="textWrapping"/>
      </w:r>
      <w:r w:rsidDel="00000000" w:rsidR="00000000" w:rsidRPr="00000000">
        <w:rPr>
          <w:rFonts w:ascii="Lato" w:cs="Lato" w:eastAsia="Lato" w:hAnsi="Lato"/>
          <w:i w:val="1"/>
          <w:rtl w:val="0"/>
        </w:rPr>
        <w:t xml:space="preserve">The investigation may include, but is not limited to the following: </w:t>
      </w:r>
      <w:r w:rsidDel="00000000" w:rsidR="00000000" w:rsidRPr="00000000">
        <w:rPr>
          <w:rFonts w:ascii="Lato" w:cs="Lato" w:eastAsia="Lato" w:hAnsi="Lato"/>
          <w:rtl w:val="0"/>
        </w:rPr>
        <w:t xml:space="preserve">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i w:val="1"/>
          <w:rtl w:val="0"/>
        </w:rPr>
        <w:t xml:space="preserve">Interviews with the Complainant and the individual named in the complaint (“Respondent”)</w:t>
      </w:r>
      <w:r w:rsidDel="00000000" w:rsidR="00000000" w:rsidRPr="00000000">
        <w:rPr>
          <w:rtl w:val="0"/>
        </w:rPr>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A request for the Complainant to provide a written statement regarding the nature of the complaint; </w:t>
      </w:r>
      <w:r w:rsidDel="00000000" w:rsidR="00000000" w:rsidRPr="00000000">
        <w:rPr>
          <w:rtl w:val="0"/>
        </w:rPr>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A request for the Respondent to provide a written statement; </w:t>
      </w:r>
      <w:r w:rsidDel="00000000" w:rsidR="00000000" w:rsidRPr="00000000">
        <w:rPr>
          <w:rtl w:val="0"/>
        </w:rPr>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Interviews with witnesses identified during the course of the investigation; </w:t>
      </w: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A request for witnesses identified during the course of the investigation to provide a written statement; and </w:t>
      </w:r>
      <w:r w:rsidDel="00000000" w:rsidR="00000000" w:rsidRPr="00000000">
        <w:rPr>
          <w:rtl w:val="0"/>
        </w:rPr>
      </w:r>
    </w:p>
    <w:p w:rsidR="00000000" w:rsidDel="00000000" w:rsidP="00000000" w:rsidRDefault="00000000" w:rsidRPr="00000000" w14:paraId="0000000D">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i w:val="1"/>
          <w:rtl w:val="0"/>
        </w:rPr>
        <w:t xml:space="preserve">Review and collection of documentation or information deemed relevant to the investigation. </w:t>
      </w:r>
      <w:r w:rsidDel="00000000" w:rsidR="00000000" w:rsidRPr="00000000">
        <w:rPr>
          <w:rtl w:val="0"/>
        </w:rPr>
      </w:r>
    </w:p>
    <w:p w:rsidR="00000000" w:rsidDel="00000000" w:rsidP="00000000" w:rsidRDefault="00000000" w:rsidRPr="00000000" w14:paraId="0000000E">
      <w:pPr>
        <w:spacing w:after="0" w:lineRule="auto"/>
        <w:rPr>
          <w:rFonts w:ascii="Lato" w:cs="Lato" w:eastAsia="Lato" w:hAnsi="Lato"/>
        </w:rPr>
      </w:pPr>
      <w:r w:rsidDel="00000000" w:rsidR="00000000" w:rsidRPr="00000000">
        <w:rPr>
          <w:rFonts w:ascii="Lato" w:cs="Lato" w:eastAsia="Lato" w:hAnsi="Lato"/>
          <w:rtl w:val="0"/>
        </w:rPr>
        <w:t xml:space="preserve">The Investigator shall consider the totality of circumstances presented in determining whether conduct objectively constitutes bullying or harassment as defined in Board policy.  Upon completion of the investigation, the Investigator shall issue a report with respect to the findings, and provide a copy of the report to the appropriate building principal or Superintendent if the investigation involved the building principal </w:t>
        <w:br w:type="textWrapping"/>
        <w:br w:type="textWrapping"/>
        <w:t xml:space="preserve">The complaint and identity of the Complainant, Respondent, or witnesses will only be disclosed as reasonably necessary in connection with the investigation or as required by law or policy.  Similarly, evidence uncovered in the investigation shall be kept confidential to the extent reasonably possible. </w:t>
        <w:br w:type="textWrapping"/>
        <w:br w:type="textWrapping"/>
      </w:r>
    </w:p>
    <w:p w:rsidR="00000000" w:rsidDel="00000000" w:rsidP="00000000" w:rsidRDefault="00000000" w:rsidRPr="00000000" w14:paraId="0000000F">
      <w:pPr>
        <w:spacing w:after="0" w:lineRule="auto"/>
        <w:rPr>
          <w:rFonts w:ascii="Lato" w:cs="Lato" w:eastAsia="Lato" w:hAnsi="Lato"/>
        </w:rPr>
      </w:pPr>
      <w:r w:rsidDel="00000000" w:rsidR="00000000" w:rsidRPr="00000000">
        <w:rPr>
          <w:rFonts w:ascii="Lato" w:cs="Lato" w:eastAsia="Lato" w:hAnsi="Lato"/>
          <w:b w:val="1"/>
          <w:rtl w:val="0"/>
        </w:rPr>
        <w:t xml:space="preserve">Decision </w:t>
      </w:r>
      <w:r w:rsidDel="00000000" w:rsidR="00000000" w:rsidRPr="00000000">
        <w:rPr>
          <w:rFonts w:ascii="Lato" w:cs="Lato" w:eastAsia="Lato" w:hAnsi="Lato"/>
          <w:rtl w:val="0"/>
        </w:rPr>
        <w:br w:type="textWrapping"/>
        <w:t xml:space="preserve">The investigator, building principal or superintendent, depending on the individuals involved, shall inform the Complainant and the accused about the outcome of the investigation.  If, after an investigation, a student is found to be in violation of the policy, the student shall be disciplined by appropriate measures, which may include suspension and expulsion.  If after an investigation a school employee is found to be in violation of this policy, the employee shall be disciplined by appropriate measures, which may include termination.  If after an investigation a school volunteer is found to be in violation of this policy, the volunteer shall be subject to appropriate measures, which may include exclusion from school grounds. </w:t>
        <w:br w:type="textWrapping"/>
        <w:br w:type="textWrapping"/>
        <w:t xml:space="preserve">Individuals who knowingly file false bullying and/or harassment complaints and any person who gives false statements in an investigation may be subject to discipline by appropriate measures, as shall any person who is found to have retaliated against another in violation of this policy.  Any student found to have retaliated in violation of this policy shall be subject to measures up to, and including, suspension and expulsion.  Any school employee found to have retaliated in violation of this policy shall be subject to measures up to, and including, termination of employment.  Any school volunteer found to have retaliated in violation of this policy shall be subject to measures up to, and including, exclusion from school grounds.  </w:t>
        <w:br w:type="textWrapping"/>
        <w:t xml:space="preserve">  </w:t>
      </w:r>
    </w:p>
    <w:p w:rsidR="00000000" w:rsidDel="00000000" w:rsidP="00000000" w:rsidRDefault="00000000" w:rsidRPr="00000000" w14:paraId="00000010">
      <w:pPr>
        <w:rPr>
          <w:rFonts w:ascii="Lato" w:cs="Lato" w:eastAsia="Lato" w:hAnsi="Lato"/>
        </w:rPr>
      </w:pP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11">
      <w:pPr>
        <w:pBdr>
          <w:bottom w:color="000000" w:space="1" w:sz="5" w:val="single"/>
        </w:pBdr>
        <w:rPr/>
      </w:pPr>
      <w:r w:rsidDel="00000000" w:rsidR="00000000" w:rsidRPr="00000000">
        <w:rPr>
          <w:rtl w:val="0"/>
        </w:rPr>
      </w:r>
    </w:p>
    <w:tbl>
      <w:tblPr>
        <w:tblStyle w:val="Table2"/>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216.9</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7">
              <w:r w:rsidDel="00000000" w:rsidR="00000000" w:rsidRPr="00000000">
                <w:rPr>
                  <w:rFonts w:ascii="Lato" w:cs="Lato" w:eastAsia="Lato" w:hAnsi="Lato"/>
                  <w:color w:val="0563c1"/>
                  <w:u w:val="single"/>
                  <w:rtl w:val="0"/>
                </w:rPr>
                <w:t xml:space="preserve">Unfair/Discriminatory Practices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280.28</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8">
              <w:r w:rsidDel="00000000" w:rsidR="00000000" w:rsidRPr="00000000">
                <w:rPr>
                  <w:rFonts w:ascii="Lato" w:cs="Lato" w:eastAsia="Lato" w:hAnsi="Lato"/>
                  <w:color w:val="0563c1"/>
                  <w:u w:val="single"/>
                  <w:rtl w:val="0"/>
                </w:rPr>
                <w:t xml:space="preserve">Harassment and Bullying Prohibited</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Iowa Code  § 280.3</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9">
              <w:r w:rsidDel="00000000" w:rsidR="00000000" w:rsidRPr="00000000">
                <w:rPr>
                  <w:rFonts w:ascii="Lato" w:cs="Lato" w:eastAsia="Lato" w:hAnsi="Lato"/>
                  <w:color w:val="0563c1"/>
                  <w:u w:val="single"/>
                  <w:rtl w:val="0"/>
                </w:rPr>
                <w:t xml:space="preserve">Education Program - Attendance Center Requirements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w:cs="Lato" w:eastAsia="Lato" w:hAnsi="Lato"/>
                <w:rtl w:val="0"/>
              </w:rPr>
              <w:t xml:space="preserve">Iowa Code § 279.82</w:t>
            </w:r>
            <w:r w:rsidDel="00000000" w:rsidR="00000000" w:rsidRPr="00000000">
              <w:rPr>
                <w:rtl w:val="0"/>
              </w:rPr>
            </w:r>
          </w:p>
        </w:tc>
        <w:tc>
          <w:tcPr>
            <w:tcMar>
              <w:top w:w="0.0" w:type="dxa"/>
              <w:bottom w:w="0.0" w:type="dxa"/>
            </w:tcMar>
          </w:tcPr>
          <w:p w:rsidR="00000000" w:rsidDel="00000000" w:rsidP="00000000" w:rsidRDefault="00000000" w:rsidRPr="00000000" w14:paraId="0000001B">
            <w:pPr>
              <w:rPr/>
            </w:pPr>
            <w:hyperlink r:id="rId10">
              <w:r w:rsidDel="00000000" w:rsidR="00000000" w:rsidRPr="00000000">
                <w:rPr>
                  <w:rFonts w:ascii="Lato" w:cs="Lato" w:eastAsia="Lato" w:hAnsi="Lato"/>
                  <w:color w:val="0563c1"/>
                  <w:u w:val="single"/>
                  <w:rtl w:val="0"/>
                </w:rPr>
                <w:t xml:space="preserve">Intra-District Enrollment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1">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Black" w:cs="Lato Black" w:eastAsia="Lato Black" w:hAnsi="Lato Black"/>
                <w:b w:val="1"/>
                <w:rtl w:val="0"/>
              </w:rPr>
              <w:t xml:space="preserve">U.S.C. - United States Code</w:t>
            </w:r>
            <w:r w:rsidDel="00000000" w:rsidR="00000000" w:rsidRPr="00000000">
              <w:rPr>
                <w:rtl w:val="0"/>
              </w:rPr>
            </w:r>
          </w:p>
        </w:tc>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20 U.S.C. §§ 1221</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12">
              <w:r w:rsidDel="00000000" w:rsidR="00000000" w:rsidRPr="00000000">
                <w:rPr>
                  <w:rFonts w:ascii="Lato" w:cs="Lato" w:eastAsia="Lato" w:hAnsi="Lato"/>
                  <w:color w:val="0563c1"/>
                  <w:u w:val="single"/>
                  <w:rtl w:val="0"/>
                </w:rPr>
                <w:t xml:space="preserve">Education - FERPA - General Provisions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29 U.S.C. §§ 794</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3">
              <w:r w:rsidDel="00000000" w:rsidR="00000000" w:rsidRPr="00000000">
                <w:rPr>
                  <w:rFonts w:ascii="Lato" w:cs="Lato" w:eastAsia="Lato" w:hAnsi="Lato"/>
                  <w:color w:val="0563c1"/>
                  <w:u w:val="single"/>
                  <w:rtl w:val="0"/>
                </w:rPr>
                <w:t xml:space="preserve">Labor - Vocation Rehab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6">
            <w:pPr>
              <w:spacing w:after="0" w:lineRule="auto"/>
              <w:rPr/>
            </w:pPr>
            <w:r w:rsidDel="00000000" w:rsidR="00000000" w:rsidRPr="00000000">
              <w:rPr>
                <w:rFonts w:ascii="Lato" w:cs="Lato" w:eastAsia="Lato" w:hAnsi="Lato"/>
                <w:rtl w:val="0"/>
              </w:rPr>
              <w:t xml:space="preserve">42 U.S.C. § 12101</w:t>
            </w:r>
            <w:r w:rsidDel="00000000" w:rsidR="00000000" w:rsidRPr="00000000">
              <w:rPr>
                <w:rtl w:val="0"/>
              </w:rPr>
            </w:r>
          </w:p>
        </w:tc>
        <w:tc>
          <w:tcPr>
            <w:tcMar>
              <w:top w:w="0.0" w:type="dxa"/>
              <w:bottom w:w="0.0" w:type="dxa"/>
            </w:tcMar>
          </w:tcPr>
          <w:p w:rsidR="00000000" w:rsidDel="00000000" w:rsidP="00000000" w:rsidRDefault="00000000" w:rsidRPr="00000000" w14:paraId="00000027">
            <w:pPr>
              <w:rPr/>
            </w:pPr>
            <w:hyperlink r:id="rId14">
              <w:r w:rsidDel="00000000" w:rsidR="00000000" w:rsidRPr="00000000">
                <w:rPr>
                  <w:rFonts w:ascii="Lato" w:cs="Lato" w:eastAsia="Lato" w:hAnsi="Lato"/>
                  <w:color w:val="0563c1"/>
                  <w:u w:val="single"/>
                  <w:rtl w:val="0"/>
                </w:rPr>
                <w:t xml:space="preserve">Public Health - Equal Opportunity - Disabilities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w:cs="Lato" w:eastAsia="Lato" w:hAnsi="Lato"/>
                <w:rtl w:val="0"/>
              </w:rPr>
              <w:t xml:space="preserve">42 U.S.C. § 2000d</w:t>
            </w:r>
            <w:r w:rsidDel="00000000" w:rsidR="00000000" w:rsidRPr="00000000">
              <w:rPr>
                <w:rtl w:val="0"/>
              </w:rPr>
            </w:r>
          </w:p>
        </w:tc>
        <w:tc>
          <w:tcPr>
            <w:tcMar>
              <w:top w:w="0.0" w:type="dxa"/>
              <w:bottom w:w="0.0" w:type="dxa"/>
            </w:tcMar>
          </w:tcPr>
          <w:p w:rsidR="00000000" w:rsidDel="00000000" w:rsidP="00000000" w:rsidRDefault="00000000" w:rsidRPr="00000000" w14:paraId="00000029">
            <w:pPr>
              <w:rPr/>
            </w:pPr>
            <w:hyperlink r:id="rId15">
              <w:r w:rsidDel="00000000" w:rsidR="00000000" w:rsidRPr="00000000">
                <w:rPr>
                  <w:rFonts w:ascii="Lato" w:cs="Lato" w:eastAsia="Lato" w:hAnsi="Lato"/>
                  <w:color w:val="0563c1"/>
                  <w:u w:val="single"/>
                  <w:rtl w:val="0"/>
                </w:rPr>
                <w:t xml:space="preserve">Public Health - Civil Rights - Federally Programs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A">
            <w:pPr>
              <w:spacing w:after="0" w:lineRule="auto"/>
              <w:rPr/>
            </w:pPr>
            <w:r w:rsidDel="00000000" w:rsidR="00000000" w:rsidRPr="00000000">
              <w:rPr>
                <w:rFonts w:ascii="Lato Black" w:cs="Lato Black" w:eastAsia="Lato Black" w:hAnsi="Lato Black"/>
                <w:b w:val="1"/>
                <w:rtl w:val="0"/>
              </w:rPr>
              <w:t xml:space="preserve">U.S. Supreme Court</w:t>
            </w:r>
            <w:r w:rsidDel="00000000" w:rsidR="00000000" w:rsidRPr="00000000">
              <w:rPr>
                <w:rtl w:val="0"/>
              </w:rPr>
            </w:r>
          </w:p>
        </w:tc>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C">
            <w:pPr>
              <w:spacing w:after="0" w:lineRule="auto"/>
              <w:rPr/>
            </w:pPr>
            <w:r w:rsidDel="00000000" w:rsidR="00000000" w:rsidRPr="00000000">
              <w:rPr>
                <w:rFonts w:ascii="Lato" w:cs="Lato" w:eastAsia="Lato" w:hAnsi="Lato"/>
                <w:rtl w:val="0"/>
              </w:rPr>
              <w:t xml:space="preserve">551 U.S. 393</w:t>
            </w:r>
            <w:r w:rsidDel="00000000" w:rsidR="00000000" w:rsidRPr="00000000">
              <w:rPr>
                <w:rtl w:val="0"/>
              </w:rPr>
            </w:r>
          </w:p>
        </w:tc>
        <w:tc>
          <w:tcPr>
            <w:tcMar>
              <w:top w:w="0.0" w:type="dxa"/>
              <w:bottom w:w="0.0" w:type="dxa"/>
            </w:tcMar>
          </w:tcPr>
          <w:p w:rsidR="00000000" w:rsidDel="00000000" w:rsidP="00000000" w:rsidRDefault="00000000" w:rsidRPr="00000000" w14:paraId="0000002D">
            <w:pPr>
              <w:rPr/>
            </w:pPr>
            <w:hyperlink r:id="rId16">
              <w:r w:rsidDel="00000000" w:rsidR="00000000" w:rsidRPr="00000000">
                <w:rPr>
                  <w:rFonts w:ascii="Lato" w:cs="Lato" w:eastAsia="Lato" w:hAnsi="Lato"/>
                  <w:color w:val="0563c1"/>
                  <w:u w:val="single"/>
                  <w:rtl w:val="0"/>
                </w:rPr>
                <w:t xml:space="preserve">Morse v Frederick (2007)</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E">
            <w:pPr>
              <w:spacing w:after="0" w:lineRule="auto"/>
              <w:rPr/>
            </w:pPr>
            <w:r w:rsidDel="00000000" w:rsidR="00000000" w:rsidRPr="00000000">
              <w:rPr>
                <w:rFonts w:ascii="Lato Black" w:cs="Lato Black" w:eastAsia="Lato Black" w:hAnsi="Lato Black"/>
                <w:b w:val="1"/>
                <w:rtl w:val="0"/>
              </w:rPr>
              <w:t xml:space="preserve">Case Law</w:t>
            </w:r>
            <w:r w:rsidDel="00000000" w:rsidR="00000000" w:rsidRPr="00000000">
              <w:rPr>
                <w:rtl w:val="0"/>
              </w:rPr>
            </w:r>
          </w:p>
        </w:tc>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0">
            <w:pPr>
              <w:spacing w:after="0" w:lineRule="auto"/>
              <w:rPr/>
            </w:pPr>
            <w:r w:rsidDel="00000000" w:rsidR="00000000" w:rsidRPr="00000000">
              <w:rPr>
                <w:rFonts w:ascii="Lato" w:cs="Lato" w:eastAsia="Lato" w:hAnsi="Lato"/>
                <w:rtl w:val="0"/>
              </w:rPr>
              <w:t xml:space="preserve">Morse v. Frederick</w:t>
            </w:r>
            <w:r w:rsidDel="00000000" w:rsidR="00000000" w:rsidRPr="00000000">
              <w:rPr>
                <w:rtl w:val="0"/>
              </w:rPr>
            </w:r>
          </w:p>
        </w:tc>
        <w:tc>
          <w:tcPr>
            <w:tcMar>
              <w:top w:w="0.0" w:type="dxa"/>
              <w:bottom w:w="0.0" w:type="dxa"/>
            </w:tcMar>
          </w:tcPr>
          <w:p w:rsidR="00000000" w:rsidDel="00000000" w:rsidP="00000000" w:rsidRDefault="00000000" w:rsidRPr="00000000" w14:paraId="00000031">
            <w:pPr>
              <w:rPr/>
            </w:pPr>
            <w:r w:rsidDel="00000000" w:rsidR="00000000" w:rsidRPr="00000000">
              <w:rPr>
                <w:rFonts w:ascii="Lato" w:cs="Lato" w:eastAsia="Lato" w:hAnsi="Lato"/>
                <w:rtl w:val="0"/>
              </w:rPr>
              <w:t xml:space="preserve">551 U.S. 393 (2007) </w:t>
            </w:r>
            <w:r w:rsidDel="00000000" w:rsidR="00000000" w:rsidRPr="00000000">
              <w:rPr>
                <w:rtl w:val="0"/>
              </w:rPr>
            </w:r>
          </w:p>
        </w:tc>
      </w:tr>
    </w:tbl>
    <w:p w:rsidR="00000000" w:rsidDel="00000000" w:rsidP="00000000" w:rsidRDefault="00000000" w:rsidRPr="00000000" w14:paraId="0000003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3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w:cs="Lato" w:eastAsia="Lato" w:hAnsi="Lato"/>
                <w:rtl w:val="0"/>
              </w:rPr>
              <w:t xml:space="preserve">102</w:t>
            </w:r>
            <w:r w:rsidDel="00000000" w:rsidR="00000000" w:rsidRPr="00000000">
              <w:rPr>
                <w:rtl w:val="0"/>
              </w:rPr>
            </w:r>
          </w:p>
        </w:tc>
        <w:tc>
          <w:tcPr>
            <w:tcMar>
              <w:top w:w="0.0" w:type="dxa"/>
              <w:bottom w:w="0.0" w:type="dxa"/>
            </w:tcMar>
          </w:tcPr>
          <w:p w:rsidR="00000000" w:rsidDel="00000000" w:rsidP="00000000" w:rsidRDefault="00000000" w:rsidRPr="00000000" w14:paraId="00000036">
            <w:pPr>
              <w:rPr/>
            </w:pPr>
            <w:hyperlink r:id="rId17">
              <w:r w:rsidDel="00000000" w:rsidR="00000000" w:rsidRPr="00000000">
                <w:rPr>
                  <w:rFonts w:ascii="Lato" w:cs="Lato" w:eastAsia="Lato" w:hAnsi="Lato"/>
                  <w:color w:val="0563c1"/>
                  <w:u w:val="single"/>
                  <w:rtl w:val="0"/>
                </w:rPr>
                <w:t xml:space="preserve">Equal Educational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7">
            <w:pPr>
              <w:spacing w:after="0" w:lineRule="auto"/>
              <w:rPr/>
            </w:pPr>
            <w:r w:rsidDel="00000000" w:rsidR="00000000" w:rsidRPr="00000000">
              <w:rPr>
                <w:rFonts w:ascii="Lato" w:cs="Lato" w:eastAsia="Lato" w:hAnsi="Lato"/>
                <w:rtl w:val="0"/>
              </w:rPr>
              <w:t xml:space="preserve">102-R(1)</w:t>
            </w:r>
            <w:r w:rsidDel="00000000" w:rsidR="00000000" w:rsidRPr="00000000">
              <w:rPr>
                <w:rtl w:val="0"/>
              </w:rPr>
            </w:r>
          </w:p>
        </w:tc>
        <w:tc>
          <w:tcPr>
            <w:tcMar>
              <w:top w:w="0.0" w:type="dxa"/>
              <w:bottom w:w="0.0" w:type="dxa"/>
            </w:tcMar>
          </w:tcPr>
          <w:p w:rsidR="00000000" w:rsidDel="00000000" w:rsidP="00000000" w:rsidRDefault="00000000" w:rsidRPr="00000000" w14:paraId="00000038">
            <w:pPr>
              <w:rPr/>
            </w:pPr>
            <w:hyperlink r:id="rId18">
              <w:r w:rsidDel="00000000" w:rsidR="00000000" w:rsidRPr="00000000">
                <w:rPr>
                  <w:rFonts w:ascii="Lato" w:cs="Lato" w:eastAsia="Lato" w:hAnsi="Lato"/>
                  <w:color w:val="0563c1"/>
                  <w:u w:val="single"/>
                  <w:rtl w:val="0"/>
                </w:rPr>
                <w:t xml:space="preserve">Equal Educational Opportunity - Grievance Procedure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9">
            <w:pPr>
              <w:spacing w:after="0" w:lineRule="auto"/>
              <w:rPr/>
            </w:pPr>
            <w:r w:rsidDel="00000000" w:rsidR="00000000" w:rsidRPr="00000000">
              <w:rPr>
                <w:rFonts w:ascii="Lato" w:cs="Lato" w:eastAsia="Lato" w:hAnsi="Lato"/>
                <w:rtl w:val="0"/>
              </w:rPr>
              <w:t xml:space="preserve">102-EH(1)</w:t>
            </w:r>
            <w:r w:rsidDel="00000000" w:rsidR="00000000" w:rsidRPr="00000000">
              <w:rPr>
                <w:rtl w:val="0"/>
              </w:rPr>
            </w:r>
          </w:p>
        </w:tc>
        <w:tc>
          <w:tcPr>
            <w:tcMar>
              <w:top w:w="0.0" w:type="dxa"/>
              <w:bottom w:w="0.0" w:type="dxa"/>
            </w:tcMar>
          </w:tcPr>
          <w:p w:rsidR="00000000" w:rsidDel="00000000" w:rsidP="00000000" w:rsidRDefault="00000000" w:rsidRPr="00000000" w14:paraId="0000003A">
            <w:pPr>
              <w:rPr/>
            </w:pPr>
            <w:hyperlink r:id="rId19">
              <w:r w:rsidDel="00000000" w:rsidR="00000000" w:rsidRPr="00000000">
                <w:rPr>
                  <w:rFonts w:ascii="Lato" w:cs="Lato" w:eastAsia="Lato" w:hAnsi="Lato"/>
                  <w:color w:val="0563c1"/>
                  <w:u w:val="single"/>
                  <w:rtl w:val="0"/>
                </w:rPr>
                <w:t xml:space="preserve">Equal Educational Opportunity - Annual Notice of Nondiscrimination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B">
            <w:pPr>
              <w:spacing w:after="0" w:lineRule="auto"/>
              <w:rPr/>
            </w:pPr>
            <w:r w:rsidDel="00000000" w:rsidR="00000000" w:rsidRPr="00000000">
              <w:rPr>
                <w:rFonts w:ascii="Lato" w:cs="Lato" w:eastAsia="Lato" w:hAnsi="Lato"/>
                <w:rtl w:val="0"/>
              </w:rPr>
              <w:t xml:space="preserve">102-EH(2)</w:t>
            </w:r>
            <w:r w:rsidDel="00000000" w:rsidR="00000000" w:rsidRPr="00000000">
              <w:rPr>
                <w:rtl w:val="0"/>
              </w:rPr>
            </w:r>
          </w:p>
        </w:tc>
        <w:tc>
          <w:tcPr>
            <w:tcMar>
              <w:top w:w="0.0" w:type="dxa"/>
              <w:bottom w:w="0.0" w:type="dxa"/>
            </w:tcMar>
          </w:tcPr>
          <w:p w:rsidR="00000000" w:rsidDel="00000000" w:rsidP="00000000" w:rsidRDefault="00000000" w:rsidRPr="00000000" w14:paraId="0000003C">
            <w:pPr>
              <w:rPr/>
            </w:pPr>
            <w:hyperlink r:id="rId20">
              <w:r w:rsidDel="00000000" w:rsidR="00000000" w:rsidRPr="00000000">
                <w:rPr>
                  <w:rFonts w:ascii="Lato" w:cs="Lato" w:eastAsia="Lato" w:hAnsi="Lato"/>
                  <w:color w:val="0563c1"/>
                  <w:u w:val="single"/>
                  <w:rtl w:val="0"/>
                </w:rPr>
                <w:t xml:space="preserve">Equal Educational Opportunity - Continuous Notice of Nondiscrimination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D">
            <w:pPr>
              <w:spacing w:after="0" w:lineRule="auto"/>
              <w:rPr/>
            </w:pPr>
            <w:r w:rsidDel="00000000" w:rsidR="00000000" w:rsidRPr="00000000">
              <w:rPr>
                <w:rFonts w:ascii="Lato" w:cs="Lato" w:eastAsia="Lato" w:hAnsi="Lato"/>
                <w:rtl w:val="0"/>
              </w:rPr>
              <w:t xml:space="preserve">102-EH(3)</w:t>
            </w:r>
            <w:r w:rsidDel="00000000" w:rsidR="00000000" w:rsidRPr="00000000">
              <w:rPr>
                <w:rtl w:val="0"/>
              </w:rPr>
            </w:r>
          </w:p>
        </w:tc>
        <w:tc>
          <w:tcPr>
            <w:tcMar>
              <w:top w:w="0.0" w:type="dxa"/>
              <w:bottom w:w="0.0" w:type="dxa"/>
            </w:tcMar>
          </w:tcPr>
          <w:p w:rsidR="00000000" w:rsidDel="00000000" w:rsidP="00000000" w:rsidRDefault="00000000" w:rsidRPr="00000000" w14:paraId="0000003E">
            <w:pPr>
              <w:rPr/>
            </w:pPr>
            <w:hyperlink r:id="rId21">
              <w:r w:rsidDel="00000000" w:rsidR="00000000" w:rsidRPr="00000000">
                <w:rPr>
                  <w:rFonts w:ascii="Lato" w:cs="Lato" w:eastAsia="Lato" w:hAnsi="Lato"/>
                  <w:color w:val="0563c1"/>
                  <w:u w:val="single"/>
                  <w:rtl w:val="0"/>
                </w:rPr>
                <w:t xml:space="preserve">Equal Educational Opportunity - Notice of Section 504 Student and Parental Rights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F">
            <w:pPr>
              <w:spacing w:after="0" w:lineRule="auto"/>
              <w:rPr/>
            </w:pPr>
            <w:r w:rsidDel="00000000" w:rsidR="00000000" w:rsidRPr="00000000">
              <w:rPr>
                <w:rFonts w:ascii="Lato" w:cs="Lato" w:eastAsia="Lato" w:hAnsi="Lato"/>
                <w:rtl w:val="0"/>
              </w:rPr>
              <w:t xml:space="preserve">102-E(4)</w:t>
            </w:r>
            <w:r w:rsidDel="00000000" w:rsidR="00000000" w:rsidRPr="00000000">
              <w:rPr>
                <w:rtl w:val="0"/>
              </w:rPr>
            </w:r>
          </w:p>
        </w:tc>
        <w:tc>
          <w:tcPr>
            <w:tcMar>
              <w:top w:w="0.0" w:type="dxa"/>
              <w:bottom w:w="0.0" w:type="dxa"/>
            </w:tcMar>
          </w:tcPr>
          <w:p w:rsidR="00000000" w:rsidDel="00000000" w:rsidP="00000000" w:rsidRDefault="00000000" w:rsidRPr="00000000" w14:paraId="00000040">
            <w:pPr>
              <w:rPr/>
            </w:pPr>
            <w:hyperlink r:id="rId22">
              <w:r w:rsidDel="00000000" w:rsidR="00000000" w:rsidRPr="00000000">
                <w:rPr>
                  <w:rFonts w:ascii="Lato" w:cs="Lato" w:eastAsia="Lato" w:hAnsi="Lato"/>
                  <w:color w:val="0563c1"/>
                  <w:u w:val="single"/>
                  <w:rtl w:val="0"/>
                </w:rPr>
                <w:t xml:space="preserve">Equal Educational Opportunity - Discrimination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1">
            <w:pPr>
              <w:spacing w:after="0" w:lineRule="auto"/>
              <w:rPr/>
            </w:pPr>
            <w:r w:rsidDel="00000000" w:rsidR="00000000" w:rsidRPr="00000000">
              <w:rPr>
                <w:rFonts w:ascii="Lato" w:cs="Lato" w:eastAsia="Lato" w:hAnsi="Lato"/>
                <w:rtl w:val="0"/>
              </w:rPr>
              <w:t xml:space="preserve">102-E(5)</w:t>
            </w:r>
            <w:r w:rsidDel="00000000" w:rsidR="00000000" w:rsidRPr="00000000">
              <w:rPr>
                <w:rtl w:val="0"/>
              </w:rPr>
            </w:r>
          </w:p>
        </w:tc>
        <w:tc>
          <w:tcPr>
            <w:tcMar>
              <w:top w:w="0.0" w:type="dxa"/>
              <w:bottom w:w="0.0" w:type="dxa"/>
            </w:tcMar>
          </w:tcPr>
          <w:p w:rsidR="00000000" w:rsidDel="00000000" w:rsidP="00000000" w:rsidRDefault="00000000" w:rsidRPr="00000000" w14:paraId="00000042">
            <w:pPr>
              <w:rPr/>
            </w:pPr>
            <w:hyperlink r:id="rId23">
              <w:r w:rsidDel="00000000" w:rsidR="00000000" w:rsidRPr="00000000">
                <w:rPr>
                  <w:rFonts w:ascii="Lato" w:cs="Lato" w:eastAsia="Lato" w:hAnsi="Lato"/>
                  <w:color w:val="0563c1"/>
                  <w:u w:val="single"/>
                  <w:rtl w:val="0"/>
                </w:rPr>
                <w:t xml:space="preserve">Equal Educational Opportunity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3">
            <w:pPr>
              <w:spacing w:after="0" w:lineRule="auto"/>
              <w:rPr/>
            </w:pPr>
            <w:r w:rsidDel="00000000" w:rsidR="00000000" w:rsidRPr="00000000">
              <w:rPr>
                <w:rFonts w:ascii="Lato" w:cs="Lato" w:eastAsia="Lato" w:hAnsi="Lato"/>
                <w:rtl w:val="0"/>
              </w:rPr>
              <w:t xml:space="preserve">102-E(6)</w:t>
            </w:r>
            <w:r w:rsidDel="00000000" w:rsidR="00000000" w:rsidRPr="00000000">
              <w:rPr>
                <w:rtl w:val="0"/>
              </w:rPr>
            </w:r>
          </w:p>
        </w:tc>
        <w:tc>
          <w:tcPr>
            <w:tcMar>
              <w:top w:w="0.0" w:type="dxa"/>
              <w:bottom w:w="0.0" w:type="dxa"/>
            </w:tcMar>
          </w:tcPr>
          <w:p w:rsidR="00000000" w:rsidDel="00000000" w:rsidP="00000000" w:rsidRDefault="00000000" w:rsidRPr="00000000" w14:paraId="00000044">
            <w:pPr>
              <w:rPr/>
            </w:pPr>
            <w:hyperlink r:id="rId24">
              <w:r w:rsidDel="00000000" w:rsidR="00000000" w:rsidRPr="00000000">
                <w:rPr>
                  <w:rFonts w:ascii="Lato" w:cs="Lato" w:eastAsia="Lato" w:hAnsi="Lato"/>
                  <w:color w:val="0563c1"/>
                  <w:u w:val="single"/>
                  <w:rtl w:val="0"/>
                </w:rPr>
                <w:t xml:space="preserve">Equal Educational Opportunity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5">
            <w:pPr>
              <w:spacing w:after="0" w:lineRule="auto"/>
              <w:rPr/>
            </w:pPr>
            <w:r w:rsidDel="00000000" w:rsidR="00000000" w:rsidRPr="00000000">
              <w:rPr>
                <w:rFonts w:ascii="Lato" w:cs="Lato" w:eastAsia="Lato" w:hAnsi="Lato"/>
                <w:rtl w:val="0"/>
              </w:rPr>
              <w:t xml:space="preserve">401.01</w:t>
            </w:r>
            <w:r w:rsidDel="00000000" w:rsidR="00000000" w:rsidRPr="00000000">
              <w:rPr>
                <w:rtl w:val="0"/>
              </w:rPr>
            </w:r>
          </w:p>
        </w:tc>
        <w:tc>
          <w:tcPr>
            <w:tcMar>
              <w:top w:w="0.0" w:type="dxa"/>
              <w:bottom w:w="0.0" w:type="dxa"/>
            </w:tcMar>
          </w:tcPr>
          <w:p w:rsidR="00000000" w:rsidDel="00000000" w:rsidP="00000000" w:rsidRDefault="00000000" w:rsidRPr="00000000" w14:paraId="00000046">
            <w:pPr>
              <w:rPr/>
            </w:pPr>
            <w:hyperlink r:id="rId25">
              <w:r w:rsidDel="00000000" w:rsidR="00000000" w:rsidRPr="00000000">
                <w:rPr>
                  <w:rFonts w:ascii="Lato" w:cs="Lato" w:eastAsia="Lato" w:hAnsi="Lato"/>
                  <w:color w:val="0563c1"/>
                  <w:u w:val="single"/>
                  <w:rtl w:val="0"/>
                </w:rPr>
                <w:t xml:space="preserve">Equal Employment Opportunity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7">
            <w:pPr>
              <w:spacing w:after="0" w:lineRule="auto"/>
              <w:rPr/>
            </w:pPr>
            <w:r w:rsidDel="00000000" w:rsidR="00000000" w:rsidRPr="00000000">
              <w:rPr>
                <w:rFonts w:ascii="Lato" w:cs="Lato" w:eastAsia="Lato" w:hAnsi="Lato"/>
                <w:rtl w:val="0"/>
              </w:rPr>
              <w:t xml:space="preserve">402.03</w:t>
            </w:r>
            <w:r w:rsidDel="00000000" w:rsidR="00000000" w:rsidRPr="00000000">
              <w:rPr>
                <w:rtl w:val="0"/>
              </w:rPr>
            </w:r>
          </w:p>
        </w:tc>
        <w:tc>
          <w:tcPr>
            <w:tcMar>
              <w:top w:w="0.0" w:type="dxa"/>
              <w:bottom w:w="0.0" w:type="dxa"/>
            </w:tcMar>
          </w:tcPr>
          <w:p w:rsidR="00000000" w:rsidDel="00000000" w:rsidP="00000000" w:rsidRDefault="00000000" w:rsidRPr="00000000" w14:paraId="00000048">
            <w:pPr>
              <w:rPr/>
            </w:pPr>
            <w:hyperlink r:id="rId26">
              <w:r w:rsidDel="00000000" w:rsidR="00000000" w:rsidRPr="00000000">
                <w:rPr>
                  <w:rFonts w:ascii="Lato" w:cs="Lato" w:eastAsia="Lato" w:hAnsi="Lato"/>
                  <w:color w:val="0563c1"/>
                  <w:u w:val="single"/>
                  <w:rtl w:val="0"/>
                </w:rPr>
                <w:t xml:space="preserve">Abuse of Students by School District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9">
            <w:pPr>
              <w:spacing w:after="0" w:lineRule="auto"/>
              <w:rPr/>
            </w:pPr>
            <w:r w:rsidDel="00000000" w:rsidR="00000000" w:rsidRPr="00000000">
              <w:rPr>
                <w:rFonts w:ascii="Lato" w:cs="Lato" w:eastAsia="Lato" w:hAnsi="Lato"/>
                <w:rtl w:val="0"/>
              </w:rPr>
              <w:t xml:space="preserve">404</w:t>
            </w:r>
            <w:r w:rsidDel="00000000" w:rsidR="00000000" w:rsidRPr="00000000">
              <w:rPr>
                <w:rtl w:val="0"/>
              </w:rPr>
            </w:r>
          </w:p>
        </w:tc>
        <w:tc>
          <w:tcPr>
            <w:tcMar>
              <w:top w:w="0.0" w:type="dxa"/>
              <w:bottom w:w="0.0" w:type="dxa"/>
            </w:tcMar>
          </w:tcPr>
          <w:p w:rsidR="00000000" w:rsidDel="00000000" w:rsidP="00000000" w:rsidRDefault="00000000" w:rsidRPr="00000000" w14:paraId="0000004A">
            <w:pPr>
              <w:rPr/>
            </w:pPr>
            <w:hyperlink r:id="rId27">
              <w:r w:rsidDel="00000000" w:rsidR="00000000" w:rsidRPr="00000000">
                <w:rPr>
                  <w:rFonts w:ascii="Lato" w:cs="Lato" w:eastAsia="Lato" w:hAnsi="Lato"/>
                  <w:color w:val="0563c1"/>
                  <w:u w:val="single"/>
                  <w:rtl w:val="0"/>
                </w:rPr>
                <w:t xml:space="preserve">Employee Conduct and Appearance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B">
            <w:pPr>
              <w:spacing w:after="0" w:lineRule="auto"/>
              <w:rPr/>
            </w:pPr>
            <w:r w:rsidDel="00000000" w:rsidR="00000000" w:rsidRPr="00000000">
              <w:rPr>
                <w:rFonts w:ascii="Lato" w:cs="Lato" w:eastAsia="Lato" w:hAnsi="Lato"/>
                <w:rtl w:val="0"/>
              </w:rPr>
              <w:t xml:space="preserve">404-R(1)</w:t>
            </w:r>
            <w:r w:rsidDel="00000000" w:rsidR="00000000" w:rsidRPr="00000000">
              <w:rPr>
                <w:rtl w:val="0"/>
              </w:rPr>
            </w:r>
          </w:p>
        </w:tc>
        <w:tc>
          <w:tcPr>
            <w:tcMar>
              <w:top w:w="0.0" w:type="dxa"/>
              <w:bottom w:w="0.0" w:type="dxa"/>
            </w:tcMar>
          </w:tcPr>
          <w:p w:rsidR="00000000" w:rsidDel="00000000" w:rsidP="00000000" w:rsidRDefault="00000000" w:rsidRPr="00000000" w14:paraId="0000004C">
            <w:pPr>
              <w:rPr/>
            </w:pPr>
            <w:hyperlink r:id="rId28">
              <w:r w:rsidDel="00000000" w:rsidR="00000000" w:rsidRPr="00000000">
                <w:rPr>
                  <w:rFonts w:ascii="Lato" w:cs="Lato" w:eastAsia="Lato" w:hAnsi="Lato"/>
                  <w:color w:val="0563c1"/>
                  <w:u w:val="single"/>
                  <w:rtl w:val="0"/>
                </w:rPr>
                <w:t xml:space="preserve">Employee Conduct and Appearance - Code of Professional Conduct and Ethics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D">
            <w:pPr>
              <w:spacing w:after="0" w:lineRule="auto"/>
              <w:rPr/>
            </w:pPr>
            <w:r w:rsidDel="00000000" w:rsidR="00000000" w:rsidRPr="00000000">
              <w:rPr>
                <w:rFonts w:ascii="Lato" w:cs="Lato" w:eastAsia="Lato" w:hAnsi="Lato"/>
                <w:rtl w:val="0"/>
              </w:rPr>
              <w:t xml:space="preserve">404-R(2)</w:t>
            </w:r>
            <w:r w:rsidDel="00000000" w:rsidR="00000000" w:rsidRPr="00000000">
              <w:rPr>
                <w:rtl w:val="0"/>
              </w:rPr>
            </w:r>
          </w:p>
        </w:tc>
        <w:tc>
          <w:tcPr>
            <w:tcMar>
              <w:top w:w="0.0" w:type="dxa"/>
              <w:bottom w:w="0.0" w:type="dxa"/>
            </w:tcMar>
          </w:tcPr>
          <w:p w:rsidR="00000000" w:rsidDel="00000000" w:rsidP="00000000" w:rsidRDefault="00000000" w:rsidRPr="00000000" w14:paraId="0000004E">
            <w:pPr>
              <w:rPr/>
            </w:pPr>
            <w:hyperlink r:id="rId29">
              <w:r w:rsidDel="00000000" w:rsidR="00000000" w:rsidRPr="00000000">
                <w:rPr>
                  <w:rFonts w:ascii="Lato" w:cs="Lato" w:eastAsia="Lato" w:hAnsi="Lato"/>
                  <w:color w:val="0563c1"/>
                  <w:u w:val="single"/>
                  <w:rtl w:val="0"/>
                </w:rPr>
                <w:t xml:space="preserve">Employee Conduct and Appearance - Code of Rights and Responsibilities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F">
            <w:pPr>
              <w:spacing w:after="0" w:lineRule="auto"/>
              <w:rPr/>
            </w:pPr>
            <w:r w:rsidDel="00000000" w:rsidR="00000000" w:rsidRPr="00000000">
              <w:rPr>
                <w:rFonts w:ascii="Lato" w:cs="Lato" w:eastAsia="Lato" w:hAnsi="Lato"/>
                <w:rtl w:val="0"/>
              </w:rPr>
              <w:t xml:space="preserve">604.11</w:t>
            </w:r>
            <w:r w:rsidDel="00000000" w:rsidR="00000000" w:rsidRPr="00000000">
              <w:rPr>
                <w:rtl w:val="0"/>
              </w:rPr>
            </w:r>
          </w:p>
        </w:tc>
        <w:tc>
          <w:tcPr>
            <w:tcMar>
              <w:top w:w="0.0" w:type="dxa"/>
              <w:bottom w:w="0.0" w:type="dxa"/>
            </w:tcMar>
          </w:tcPr>
          <w:p w:rsidR="00000000" w:rsidDel="00000000" w:rsidP="00000000" w:rsidRDefault="00000000" w:rsidRPr="00000000" w14:paraId="00000050">
            <w:pPr>
              <w:rPr/>
            </w:pPr>
            <w:hyperlink r:id="rId30">
              <w:r w:rsidDel="00000000" w:rsidR="00000000" w:rsidRPr="00000000">
                <w:rPr>
                  <w:rFonts w:ascii="Lato" w:cs="Lato" w:eastAsia="Lato" w:hAnsi="Lato"/>
                  <w:color w:val="0563c1"/>
                  <w:u w:val="single"/>
                  <w:rtl w:val="0"/>
                </w:rPr>
                <w:t xml:space="preserve">Appropriate Use of Online Learning Platforms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1">
            <w:pPr>
              <w:spacing w:after="0" w:lineRule="auto"/>
              <w:rPr/>
            </w:pPr>
            <w:r w:rsidDel="00000000" w:rsidR="00000000" w:rsidRPr="00000000">
              <w:rPr>
                <w:rFonts w:ascii="Lato" w:cs="Lato" w:eastAsia="Lato" w:hAnsi="Lato"/>
                <w:rtl w:val="0"/>
              </w:rPr>
              <w:t xml:space="preserve">605.06</w:t>
            </w:r>
            <w:r w:rsidDel="00000000" w:rsidR="00000000" w:rsidRPr="00000000">
              <w:rPr>
                <w:rtl w:val="0"/>
              </w:rPr>
            </w:r>
          </w:p>
        </w:tc>
        <w:tc>
          <w:tcPr>
            <w:tcMar>
              <w:top w:w="0.0" w:type="dxa"/>
              <w:bottom w:w="0.0" w:type="dxa"/>
            </w:tcMar>
          </w:tcPr>
          <w:p w:rsidR="00000000" w:rsidDel="00000000" w:rsidP="00000000" w:rsidRDefault="00000000" w:rsidRPr="00000000" w14:paraId="00000052">
            <w:pPr>
              <w:rPr/>
            </w:pPr>
            <w:hyperlink r:id="rId31">
              <w:r w:rsidDel="00000000" w:rsidR="00000000" w:rsidRPr="00000000">
                <w:rPr>
                  <w:rFonts w:ascii="Lato" w:cs="Lato" w:eastAsia="Lato" w:hAnsi="Lato"/>
                  <w:color w:val="0563c1"/>
                  <w:u w:val="single"/>
                  <w:rtl w:val="0"/>
                </w:rPr>
                <w:t xml:space="preserve">Internet - Appropriate Use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3">
            <w:pPr>
              <w:spacing w:after="0" w:lineRule="auto"/>
              <w:rPr/>
            </w:pPr>
            <w:r w:rsidDel="00000000" w:rsidR="00000000" w:rsidRPr="00000000">
              <w:rPr>
                <w:rFonts w:ascii="Lato" w:cs="Lato" w:eastAsia="Lato" w:hAnsi="Lato"/>
                <w:rtl w:val="0"/>
              </w:rPr>
              <w:t xml:space="preserve">605.06-R(1)</w:t>
            </w:r>
            <w:r w:rsidDel="00000000" w:rsidR="00000000" w:rsidRPr="00000000">
              <w:rPr>
                <w:rtl w:val="0"/>
              </w:rPr>
            </w:r>
          </w:p>
        </w:tc>
        <w:tc>
          <w:tcPr>
            <w:tcMar>
              <w:top w:w="0.0" w:type="dxa"/>
              <w:bottom w:w="0.0" w:type="dxa"/>
            </w:tcMar>
          </w:tcPr>
          <w:p w:rsidR="00000000" w:rsidDel="00000000" w:rsidP="00000000" w:rsidRDefault="00000000" w:rsidRPr="00000000" w14:paraId="00000054">
            <w:pPr>
              <w:rPr/>
            </w:pPr>
            <w:hyperlink r:id="rId32">
              <w:r w:rsidDel="00000000" w:rsidR="00000000" w:rsidRPr="00000000">
                <w:rPr>
                  <w:rFonts w:ascii="Lato" w:cs="Lato" w:eastAsia="Lato" w:hAnsi="Lato"/>
                  <w:color w:val="0563c1"/>
                  <w:u w:val="single"/>
                  <w:rtl w:val="0"/>
                </w:rPr>
                <w:t xml:space="preserve">Internet - Appropriate Use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5">
            <w:pPr>
              <w:spacing w:after="0" w:lineRule="auto"/>
              <w:rPr/>
            </w:pPr>
            <w:r w:rsidDel="00000000" w:rsidR="00000000" w:rsidRPr="00000000">
              <w:rPr>
                <w:rFonts w:ascii="Lato" w:cs="Lato" w:eastAsia="Lato" w:hAnsi="Lato"/>
                <w:rtl w:val="0"/>
              </w:rPr>
              <w:t xml:space="preserve">605.06-E(1)</w:t>
            </w:r>
            <w:r w:rsidDel="00000000" w:rsidR="00000000" w:rsidRPr="00000000">
              <w:rPr>
                <w:rtl w:val="0"/>
              </w:rPr>
            </w:r>
          </w:p>
        </w:tc>
        <w:tc>
          <w:tcPr>
            <w:tcMar>
              <w:top w:w="0.0" w:type="dxa"/>
              <w:bottom w:w="0.0" w:type="dxa"/>
            </w:tcMar>
          </w:tcPr>
          <w:p w:rsidR="00000000" w:rsidDel="00000000" w:rsidP="00000000" w:rsidRDefault="00000000" w:rsidRPr="00000000" w14:paraId="00000056">
            <w:pPr>
              <w:rPr/>
            </w:pPr>
            <w:hyperlink r:id="rId33">
              <w:r w:rsidDel="00000000" w:rsidR="00000000" w:rsidRPr="00000000">
                <w:rPr>
                  <w:rFonts w:ascii="Lato" w:cs="Lato" w:eastAsia="Lato" w:hAnsi="Lato"/>
                  <w:color w:val="0563c1"/>
                  <w:u w:val="single"/>
                  <w:rtl w:val="0"/>
                </w:rPr>
                <w:t xml:space="preserve">Internet - Appropriate Use - Internet Access Permission Letter to Parents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7">
            <w:pPr>
              <w:spacing w:after="0" w:lineRule="auto"/>
              <w:rPr/>
            </w:pPr>
            <w:r w:rsidDel="00000000" w:rsidR="00000000" w:rsidRPr="00000000">
              <w:rPr>
                <w:rFonts w:ascii="Lato" w:cs="Lato" w:eastAsia="Lato" w:hAnsi="Lato"/>
                <w:rtl w:val="0"/>
              </w:rPr>
              <w:t xml:space="preserve">605.06-E(2)</w:t>
            </w:r>
            <w:r w:rsidDel="00000000" w:rsidR="00000000" w:rsidRPr="00000000">
              <w:rPr>
                <w:rtl w:val="0"/>
              </w:rPr>
            </w:r>
          </w:p>
        </w:tc>
        <w:tc>
          <w:tcPr>
            <w:tcMar>
              <w:top w:w="0.0" w:type="dxa"/>
              <w:bottom w:w="0.0" w:type="dxa"/>
            </w:tcMar>
          </w:tcPr>
          <w:p w:rsidR="00000000" w:rsidDel="00000000" w:rsidP="00000000" w:rsidRDefault="00000000" w:rsidRPr="00000000" w14:paraId="00000058">
            <w:pPr>
              <w:rPr/>
            </w:pPr>
            <w:hyperlink r:id="rId34">
              <w:r w:rsidDel="00000000" w:rsidR="00000000" w:rsidRPr="00000000">
                <w:rPr>
                  <w:rFonts w:ascii="Lato" w:cs="Lato" w:eastAsia="Lato" w:hAnsi="Lato"/>
                  <w:color w:val="0563c1"/>
                  <w:u w:val="single"/>
                  <w:rtl w:val="0"/>
                </w:rPr>
                <w:t xml:space="preserve">Internet - Appropriate Use - Violation Notice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9">
            <w:pPr>
              <w:spacing w:after="0" w:lineRule="auto"/>
              <w:rPr/>
            </w:pPr>
            <w:r w:rsidDel="00000000" w:rsidR="00000000" w:rsidRPr="00000000">
              <w:rPr>
                <w:rFonts w:ascii="Lato" w:cs="Lato" w:eastAsia="Lato" w:hAnsi="Lato"/>
                <w:rtl w:val="0"/>
              </w:rPr>
              <w:t xml:space="preserve">605.08</w:t>
            </w:r>
            <w:r w:rsidDel="00000000" w:rsidR="00000000" w:rsidRPr="00000000">
              <w:rPr>
                <w:rtl w:val="0"/>
              </w:rPr>
            </w:r>
          </w:p>
        </w:tc>
        <w:tc>
          <w:tcPr>
            <w:tcMar>
              <w:top w:w="0.0" w:type="dxa"/>
              <w:bottom w:w="0.0" w:type="dxa"/>
            </w:tcMar>
          </w:tcPr>
          <w:p w:rsidR="00000000" w:rsidDel="00000000" w:rsidP="00000000" w:rsidRDefault="00000000" w:rsidRPr="00000000" w14:paraId="0000005A">
            <w:pPr>
              <w:rPr/>
            </w:pPr>
            <w:hyperlink r:id="rId35">
              <w:r w:rsidDel="00000000" w:rsidR="00000000" w:rsidRPr="00000000">
                <w:rPr>
                  <w:rFonts w:ascii="Lato" w:cs="Lato" w:eastAsia="Lato" w:hAnsi="Lato"/>
                  <w:color w:val="0563c1"/>
                  <w:u w:val="single"/>
                  <w:rtl w:val="0"/>
                </w:rPr>
                <w:t xml:space="preserve">Artificial Intelligence int the Educational Environment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B">
            <w:pPr>
              <w:spacing w:after="0" w:lineRule="auto"/>
              <w:rPr/>
            </w:pPr>
            <w:r w:rsidDel="00000000" w:rsidR="00000000" w:rsidRPr="00000000">
              <w:rPr>
                <w:rFonts w:ascii="Lato" w:cs="Lato" w:eastAsia="Lato" w:hAnsi="Lato"/>
                <w:rtl w:val="0"/>
              </w:rPr>
              <w:t xml:space="preserve">605.08-R(1)</w:t>
            </w:r>
            <w:r w:rsidDel="00000000" w:rsidR="00000000" w:rsidRPr="00000000">
              <w:rPr>
                <w:rtl w:val="0"/>
              </w:rPr>
            </w:r>
          </w:p>
        </w:tc>
        <w:tc>
          <w:tcPr>
            <w:tcMar>
              <w:top w:w="0.0" w:type="dxa"/>
              <w:bottom w:w="0.0" w:type="dxa"/>
            </w:tcMar>
          </w:tcPr>
          <w:p w:rsidR="00000000" w:rsidDel="00000000" w:rsidP="00000000" w:rsidRDefault="00000000" w:rsidRPr="00000000" w14:paraId="0000005C">
            <w:pPr>
              <w:rPr/>
            </w:pPr>
            <w:hyperlink r:id="rId36">
              <w:r w:rsidDel="00000000" w:rsidR="00000000" w:rsidRPr="00000000">
                <w:rPr>
                  <w:rFonts w:ascii="Lato" w:cs="Lato" w:eastAsia="Lato" w:hAnsi="Lato"/>
                  <w:color w:val="0563c1"/>
                  <w:u w:val="single"/>
                  <w:rtl w:val="0"/>
                </w:rPr>
                <w:t xml:space="preserve">Artificial Intelligence int the Educational Environment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D">
            <w:pPr>
              <w:spacing w:after="0" w:lineRule="auto"/>
              <w:rPr/>
            </w:pPr>
            <w:r w:rsidDel="00000000" w:rsidR="00000000" w:rsidRPr="00000000">
              <w:rPr>
                <w:rFonts w:ascii="Lato" w:cs="Lato" w:eastAsia="Lato" w:hAnsi="Lato"/>
                <w:rtl w:val="0"/>
              </w:rPr>
              <w:t xml:space="preserve">713</w:t>
            </w:r>
            <w:r w:rsidDel="00000000" w:rsidR="00000000" w:rsidRPr="00000000">
              <w:rPr>
                <w:rtl w:val="0"/>
              </w:rPr>
            </w:r>
          </w:p>
        </w:tc>
        <w:tc>
          <w:tcPr>
            <w:tcMar>
              <w:top w:w="0.0" w:type="dxa"/>
              <w:bottom w:w="0.0" w:type="dxa"/>
            </w:tcMar>
          </w:tcPr>
          <w:p w:rsidR="00000000" w:rsidDel="00000000" w:rsidP="00000000" w:rsidRDefault="00000000" w:rsidRPr="00000000" w14:paraId="0000005E">
            <w:pPr>
              <w:rPr/>
            </w:pPr>
            <w:hyperlink r:id="rId37">
              <w:r w:rsidDel="00000000" w:rsidR="00000000" w:rsidRPr="00000000">
                <w:rPr>
                  <w:rFonts w:ascii="Lato" w:cs="Lato" w:eastAsia="Lato" w:hAnsi="Lato"/>
                  <w:color w:val="0563c1"/>
                  <w:u w:val="single"/>
                  <w:rtl w:val="0"/>
                </w:rPr>
                <w:t xml:space="preserve">Responsible Technology Use &amp; Social Networking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5F">
            <w:pPr>
              <w:spacing w:after="0" w:lineRule="auto"/>
              <w:rPr/>
            </w:pPr>
            <w:r w:rsidDel="00000000" w:rsidR="00000000" w:rsidRPr="00000000">
              <w:rPr>
                <w:rFonts w:ascii="Lato" w:cs="Lato" w:eastAsia="Lato" w:hAnsi="Lato"/>
                <w:rtl w:val="0"/>
              </w:rPr>
              <w:t xml:space="preserve">713-R(1)</w:t>
            </w:r>
            <w:r w:rsidDel="00000000" w:rsidR="00000000" w:rsidRPr="00000000">
              <w:rPr>
                <w:rtl w:val="0"/>
              </w:rPr>
            </w:r>
          </w:p>
        </w:tc>
        <w:tc>
          <w:tcPr>
            <w:tcMar>
              <w:top w:w="0.0" w:type="dxa"/>
              <w:bottom w:w="0.0" w:type="dxa"/>
            </w:tcMar>
          </w:tcPr>
          <w:p w:rsidR="00000000" w:rsidDel="00000000" w:rsidP="00000000" w:rsidRDefault="00000000" w:rsidRPr="00000000" w14:paraId="00000060">
            <w:pPr>
              <w:rPr/>
            </w:pPr>
            <w:hyperlink r:id="rId38">
              <w:r w:rsidDel="00000000" w:rsidR="00000000" w:rsidRPr="00000000">
                <w:rPr>
                  <w:rFonts w:ascii="Lato" w:cs="Lato" w:eastAsia="Lato" w:hAnsi="Lato"/>
                  <w:color w:val="0563c1"/>
                  <w:u w:val="single"/>
                  <w:rtl w:val="0"/>
                </w:rPr>
                <w:t xml:space="preserve">Responsible Technology Use &amp; Social Networking - Regulation</w:t>
              </w:r>
            </w:hyperlink>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character" w:styleId="Emphasis">
    <w:name w:val="Emphasis"/>
    <w:basedOn w:val="DefaultParagraphFont"/>
    <w:uiPriority w:val="20"/>
    <w:qFormat w:val="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Cy6NdoorfVlw1TWFmZcwdA==" TargetMode="External"/><Relationship Id="rId22" Type="http://schemas.openxmlformats.org/officeDocument/2006/relationships/hyperlink" Target="https://simbli.eboardsolutions.com/Policy/ViewPolicy.aspx?S=36031104&amp;revid=TcRtUyI0Kqzslshz6KyUPuSPA==" TargetMode="External"/><Relationship Id="rId21" Type="http://schemas.openxmlformats.org/officeDocument/2006/relationships/hyperlink" Target="https://simbli.eboardsolutions.com/Policy/ViewPolicy.aspx?S=36031104&amp;revid=DpB8KQfBatTn9b180adsVA==" TargetMode="External"/><Relationship Id="rId24" Type="http://schemas.openxmlformats.org/officeDocument/2006/relationships/hyperlink" Target="https://simbli.eboardsolutions.com/Policy/ViewPolicy.aspx?S=36031104&amp;revid=ckslshwToJGinoK4QiVbLtJug==" TargetMode="External"/><Relationship Id="rId23" Type="http://schemas.openxmlformats.org/officeDocument/2006/relationships/hyperlink" Target="https://simbli.eboardsolutions.com/Policy/ViewPolicy.aspx?S=36031104&amp;revid=qjoxe9U2xDjG2Ek8Yfskslsh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80.3.pdf" TargetMode="External"/><Relationship Id="rId26" Type="http://schemas.openxmlformats.org/officeDocument/2006/relationships/hyperlink" Target="https://simbli.eboardsolutions.com/Policy/ViewPolicy.aspx?S=36031104&amp;revid=37LmduVHV1A1bEvRg0Satw==" TargetMode="External"/><Relationship Id="rId25" Type="http://schemas.openxmlformats.org/officeDocument/2006/relationships/hyperlink" Target="https://simbli.eboardsolutions.com/Policy/ViewPolicy.aspx?S=36031104&amp;revid=pzXplusZBiNZWZ8rsuGxpluskLUA==" TargetMode="External"/><Relationship Id="rId28" Type="http://schemas.openxmlformats.org/officeDocument/2006/relationships/hyperlink" Target="https://simbli.eboardsolutions.com/Policy/ViewPolicy.aspx?S=36031104&amp;revid=3bYidVdrEaCplusZzQhhXplus2sg==" TargetMode="External"/><Relationship Id="rId27" Type="http://schemas.openxmlformats.org/officeDocument/2006/relationships/hyperlink" Target="https://simbli.eboardsolutions.com/Policy/ViewPolicy.aspx?S=36031104&amp;revid=tHSbWzMDkTpvVHlIUAl5KQ=="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imbli.eboardsolutions.com/Policy/ViewPolicy.aspx?S=36031104&amp;revid=sswtR2ITm2oZ2jw2WQJiQA==" TargetMode="External"/><Relationship Id="rId7" Type="http://schemas.openxmlformats.org/officeDocument/2006/relationships/hyperlink" Target="https://www.legis.iowa.gov/docs/code/216.9.pdf" TargetMode="External"/><Relationship Id="rId8" Type="http://schemas.openxmlformats.org/officeDocument/2006/relationships/hyperlink" Target="https://www.legis.iowa.gov/docs/code/280.28.pdf" TargetMode="External"/><Relationship Id="rId31" Type="http://schemas.openxmlformats.org/officeDocument/2006/relationships/hyperlink" Target="https://simbli.eboardsolutions.com/Policy/ViewPolicy.aspx?S=36031104&amp;revid=KplusE5etpJCYDslshlS0j3oehAg==" TargetMode="External"/><Relationship Id="rId30" Type="http://schemas.openxmlformats.org/officeDocument/2006/relationships/hyperlink" Target="https://simbli.eboardsolutions.com/Policy/ViewPolicy.aspx?S=36031104&amp;revid=AoA3OtI8ibyQnOOUbpX1Gg==" TargetMode="External"/><Relationship Id="rId11" Type="http://schemas.openxmlformats.org/officeDocument/2006/relationships/hyperlink" Target="https://www.legis.iowa.gov/docs/iac/rule/281.12.3.pdf" TargetMode="External"/><Relationship Id="rId33" Type="http://schemas.openxmlformats.org/officeDocument/2006/relationships/hyperlink" Target="https://simbli.eboardsolutions.com/Policy/ViewPolicy.aspx?S=36031104&amp;revid=3HsD1CR2BlvCplusvfDuWOvslshQ==" TargetMode="External"/><Relationship Id="rId10" Type="http://schemas.openxmlformats.org/officeDocument/2006/relationships/hyperlink" Target="https://www.legis.iowa.gov/docs/code/279.82.pdf" TargetMode="External"/><Relationship Id="rId32" Type="http://schemas.openxmlformats.org/officeDocument/2006/relationships/hyperlink" Target="https://simbli.eboardsolutions.com/Policy/ViewPolicy.aspx?S=36031104&amp;revid=eEWVUAj1Vv7i4ajUB1MYfQ==" TargetMode="External"/><Relationship Id="rId13" Type="http://schemas.openxmlformats.org/officeDocument/2006/relationships/hyperlink" Target="https://www.govinfo.gov/app/details/USCODE-2017-title29/USCODE-2017-title29-chap16-subchapV-sec794" TargetMode="External"/><Relationship Id="rId35" Type="http://schemas.openxmlformats.org/officeDocument/2006/relationships/hyperlink" Target="https://simbli.eboardsolutions.com/Policy/ViewPolicy.aspx?S=36031104&amp;revid=w3NftykL11GGCwVpsQTxvw==" TargetMode="External"/><Relationship Id="rId12" Type="http://schemas.openxmlformats.org/officeDocument/2006/relationships/hyperlink" Target="https://www.govinfo.gov/app/details/USCODE-2017-title20/USCODE-2017-title20-chap31-sec1221" TargetMode="External"/><Relationship Id="rId34" Type="http://schemas.openxmlformats.org/officeDocument/2006/relationships/hyperlink" Target="https://simbli.eboardsolutions.com/Policy/ViewPolicy.aspx?S=36031104&amp;revid=2DxZmfjtlW0YpabTeSBvkw==" TargetMode="External"/><Relationship Id="rId15" Type="http://schemas.openxmlformats.org/officeDocument/2006/relationships/hyperlink" Target="https://www.govinfo.gov/app/details/USCODE-2017-title42/USCODE-2017-title42-chap21-subchapV-sec2000d" TargetMode="External"/><Relationship Id="rId37" Type="http://schemas.openxmlformats.org/officeDocument/2006/relationships/hyperlink" Target="https://simbli.eboardsolutions.com/Policy/ViewPolicy.aspx?S=36031104&amp;revid=520ybdiDvC3SPplus2XJOwpTg==" TargetMode="External"/><Relationship Id="rId14" Type="http://schemas.openxmlformats.org/officeDocument/2006/relationships/hyperlink" Target="https://www.govinfo.gov/app/details/USCODE-2017-title42/USCODE-2017-title42-chap126-sec12101" TargetMode="External"/><Relationship Id="rId36" Type="http://schemas.openxmlformats.org/officeDocument/2006/relationships/hyperlink" Target="https://simbli.eboardsolutions.com/Policy/ViewPolicy.aspx?S=36031104&amp;revid=0WrNHosKJANTcFYplusraEujw==" TargetMode="External"/><Relationship Id="rId17" Type="http://schemas.openxmlformats.org/officeDocument/2006/relationships/hyperlink" Target="https://simbli.eboardsolutions.com/Policy/ViewPolicy.aspx?S=36031104&amp;revid=JORt4gFgIMfkiScatxaK2w==" TargetMode="External"/><Relationship Id="rId16" Type="http://schemas.openxmlformats.org/officeDocument/2006/relationships/hyperlink" Target="https://caselaw.findlaw.com/us-supreme-court/551/393.html" TargetMode="External"/><Relationship Id="rId38" Type="http://schemas.openxmlformats.org/officeDocument/2006/relationships/hyperlink" Target="https://simbli.eboardsolutions.com/Policy/ViewPolicy.aspx?S=36031104&amp;revid=qWx0WBwEq4kJRzVVjhGXhg==" TargetMode="External"/><Relationship Id="rId19" Type="http://schemas.openxmlformats.org/officeDocument/2006/relationships/hyperlink" Target="https://simbli.eboardsolutions.com/Policy/ViewPolicy.aspx?S=36031104&amp;revid=YSp4FiyVSqwU2a0yzuqrwA==" TargetMode="External"/><Relationship Id="rId18" Type="http://schemas.openxmlformats.org/officeDocument/2006/relationships/hyperlink" Target="https://simbli.eboardsolutions.com/Policy/ViewPolicy.aspx?S=36031104&amp;revid=Bc4Bmx3hSGHaGyfA6mEE9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1F8MANSZ9iwgC3gDKtQWAhI3vg==">CgMxLjAyCGguZ2pkZ3hzOAByITExbTlhREplcUJjWjRybDA1dnltODdRMmpNOVhfZ2d0aw==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2024-02-14T19:26:00Z</dcterms:created>
  <dc:creator>Linda Heisdorffer</dc:creator>
</cp:coreProperties>
</file>